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ED" w:rsidRDefault="002213CD" w:rsidP="00686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  <w:r w:rsidRPr="002213CD">
        <w:rPr>
          <w:rFonts w:ascii="Times New Roman" w:hAnsi="Times New Roman" w:cs="Times New Roman"/>
          <w:bCs/>
        </w:rPr>
        <w:t xml:space="preserve">Załącznik </w:t>
      </w:r>
      <w:r w:rsidRPr="002213CD">
        <w:rPr>
          <w:rFonts w:ascii="Times New Roman" w:hAnsi="Times New Roman" w:cs="Times New Roman"/>
          <w:bCs/>
        </w:rPr>
        <w:fldChar w:fldCharType="begin"/>
      </w:r>
      <w:r w:rsidRPr="002213CD">
        <w:rPr>
          <w:rFonts w:ascii="Times New Roman" w:hAnsi="Times New Roman" w:cs="Times New Roman"/>
          <w:bCs/>
        </w:rPr>
        <w:instrText xml:space="preserve"> FILENAME   \* MERGEFORMAT </w:instrText>
      </w:r>
      <w:r w:rsidRPr="002213CD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B.46</w:t>
      </w:r>
      <w:r w:rsidRPr="002213CD">
        <w:rPr>
          <w:rFonts w:ascii="Times New Roman" w:hAnsi="Times New Roman" w:cs="Times New Roman"/>
          <w:bCs/>
        </w:rPr>
        <w:t>.</w:t>
      </w:r>
      <w:r w:rsidRPr="002213CD">
        <w:rPr>
          <w:rFonts w:ascii="Times New Roman" w:hAnsi="Times New Roman" w:cs="Times New Roman"/>
          <w:bCs/>
        </w:rPr>
        <w:fldChar w:fldCharType="end"/>
      </w:r>
    </w:p>
    <w:p w:rsidR="002213CD" w:rsidRPr="002213CD" w:rsidRDefault="002213CD" w:rsidP="00686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213CD">
        <w:rPr>
          <w:rFonts w:ascii="Times New Roman" w:hAnsi="Times New Roman" w:cs="Times New Roman"/>
          <w:bCs/>
        </w:rPr>
        <w:fldChar w:fldCharType="begin"/>
      </w:r>
      <w:r w:rsidRPr="002213CD">
        <w:rPr>
          <w:rFonts w:ascii="Times New Roman" w:hAnsi="Times New Roman" w:cs="Times New Roman"/>
          <w:bCs/>
        </w:rPr>
        <w:instrText xml:space="preserve"> FILENAME   \* MERGEFORMAT </w:instrText>
      </w:r>
      <w:r w:rsidRPr="002213CD">
        <w:rPr>
          <w:rFonts w:ascii="Times New Roman" w:hAnsi="Times New Roman" w:cs="Times New Roman"/>
          <w:bCs/>
        </w:rPr>
        <w:fldChar w:fldCharType="end"/>
      </w:r>
    </w:p>
    <w:p w:rsidR="00783659" w:rsidRPr="00A21BD3" w:rsidRDefault="00783659" w:rsidP="0068695C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21BD3">
        <w:rPr>
          <w:rFonts w:ascii="Times New Roman" w:hAnsi="Times New Roman" w:cs="Times New Roman"/>
          <w:b/>
          <w:bCs/>
          <w:sz w:val="28"/>
          <w:szCs w:val="24"/>
        </w:rPr>
        <w:t>LECZENIE STWARDNIENIA ROZSIANEGO PO NIEPOWODZENIU TERAPII LEKAMI PIERWSZEGO RZUTU LUB SZYBKO ROZWIJAJĄCEJ  SIĘ CIĘŻKIEJ POSTACI  STWARDNIENIA  ROZSIANEGO</w:t>
      </w:r>
      <w:r w:rsidRPr="00A21BD3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2534E2">
        <w:rPr>
          <w:rFonts w:ascii="Times New Roman" w:hAnsi="Times New Roman" w:cs="Times New Roman"/>
          <w:b/>
          <w:bCs/>
          <w:sz w:val="28"/>
          <w:szCs w:val="24"/>
        </w:rPr>
        <w:t xml:space="preserve">(ICD-10  </w:t>
      </w:r>
      <w:r w:rsidRPr="00A21BD3">
        <w:rPr>
          <w:rFonts w:ascii="Times New Roman" w:hAnsi="Times New Roman" w:cs="Times New Roman"/>
          <w:b/>
          <w:bCs/>
          <w:sz w:val="28"/>
          <w:szCs w:val="24"/>
        </w:rPr>
        <w:t>G 35)</w:t>
      </w:r>
    </w:p>
    <w:tbl>
      <w:tblPr>
        <w:tblpPr w:leftFromText="141" w:rightFromText="141" w:vertAnchor="text" w:tblpXSpec="center" w:tblpY="1"/>
        <w:tblOverlap w:val="never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5"/>
        <w:gridCol w:w="4471"/>
        <w:gridCol w:w="5596"/>
      </w:tblGrid>
      <w:tr w:rsidR="00783659" w:rsidRPr="004C753E" w:rsidTr="001D5CB5">
        <w:tc>
          <w:tcPr>
            <w:tcW w:w="5000" w:type="pct"/>
            <w:gridSpan w:val="3"/>
            <w:vAlign w:val="center"/>
          </w:tcPr>
          <w:p w:rsidR="00783659" w:rsidRPr="004C753E" w:rsidRDefault="00783659" w:rsidP="001D5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783659" w:rsidRPr="004C753E" w:rsidTr="001D5CB5">
        <w:tc>
          <w:tcPr>
            <w:tcW w:w="1778" w:type="pct"/>
            <w:vAlign w:val="center"/>
          </w:tcPr>
          <w:p w:rsidR="00783659" w:rsidRPr="004C753E" w:rsidRDefault="00783659" w:rsidP="001D5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31" w:type="pct"/>
            <w:vAlign w:val="center"/>
          </w:tcPr>
          <w:p w:rsidR="00783659" w:rsidRPr="004C753E" w:rsidRDefault="00783659" w:rsidP="001D5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91" w:type="pct"/>
            <w:tcBorders>
              <w:right w:val="single" w:sz="4" w:space="0" w:color="auto"/>
            </w:tcBorders>
            <w:vAlign w:val="center"/>
          </w:tcPr>
          <w:p w:rsidR="00783659" w:rsidRPr="004C753E" w:rsidRDefault="00783659" w:rsidP="001D5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783659" w:rsidRPr="004C753E" w:rsidTr="00505839">
        <w:trPr>
          <w:trHeight w:val="1408"/>
        </w:trPr>
        <w:tc>
          <w:tcPr>
            <w:tcW w:w="1778" w:type="pct"/>
          </w:tcPr>
          <w:p w:rsidR="00783659" w:rsidRPr="004C753E" w:rsidRDefault="00783659" w:rsidP="00ED7AF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Kryteria kwalifikacji do leczenia fingolimodem w ramach programu:</w:t>
            </w:r>
          </w:p>
          <w:p w:rsidR="00783659" w:rsidRPr="004C753E" w:rsidRDefault="00783659" w:rsidP="00ED7A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leczenia substancją czynną fingolimod kwalifikowani są pacjenci spełniający łącznie następujące kryteria:</w:t>
            </w:r>
          </w:p>
          <w:p w:rsidR="00783659" w:rsidRPr="00796980" w:rsidRDefault="00783659" w:rsidP="00ED7AF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Wiek od 18 roku życia; </w:t>
            </w: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Rozpoznanie postaci rzutowej stwardnienia rozsianego (RRMS) - oparte na kryteriach diagnostycznych McDonalda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włącznie z badaniami rezonansem magnetycznym, przed i po kontraście, w którym w okresie kwalifikacji w obrazie T-2 zależnym stwierdzono obecność co najmniej 9 zmian lub obecność co najmniej 1 zmiany po wzmocnieniu gadolinem;</w:t>
            </w: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Pacjenci, u których stwierdza się brak odpowiedzi na pełny, minimum roczny cykl leczenia interferonem beta lub octanem glatirameru, definiowany jako spełnienie obu  poniższych warunków:</w:t>
            </w:r>
          </w:p>
          <w:p w:rsidR="00783659" w:rsidRPr="004C753E" w:rsidRDefault="00783659" w:rsidP="00ED7AF3">
            <w:pPr>
              <w:spacing w:after="0"/>
              <w:ind w:left="284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liczba i ciężkość rzutów:</w:t>
            </w:r>
          </w:p>
          <w:p w:rsidR="00783659" w:rsidRPr="00796980" w:rsidRDefault="00783659" w:rsidP="00ED7AF3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796980">
              <w:rPr>
                <w:color w:val="000000"/>
                <w:sz w:val="20"/>
                <w:szCs w:val="20"/>
              </w:rPr>
              <w:t>2 lub więcej rzutów umiarkowanych wymagających leczenia sterydami (wzrost EDSS o 1 do 2 pkt lub wzrost o 2 pkt w zakresie jednego lub dwóch układów funkcjonalnych, lub o 1 pkt w zakresie czterech lub większej liczby układów funkcjonalnych)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6980">
              <w:rPr>
                <w:color w:val="000000"/>
                <w:sz w:val="20"/>
                <w:szCs w:val="20"/>
              </w:rPr>
              <w:t xml:space="preserve"> lub</w:t>
            </w:r>
          </w:p>
          <w:p w:rsidR="00783659" w:rsidRPr="00796980" w:rsidRDefault="00783659" w:rsidP="00ED7AF3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796980">
              <w:rPr>
                <w:color w:val="000000"/>
                <w:sz w:val="20"/>
                <w:szCs w:val="20"/>
              </w:rPr>
              <w:lastRenderedPageBreak/>
              <w:t>1 ciężki rzut po 6 miesiącach leczenia (wzrost w EDSS większy niż w definicji rzutu umiarkowanego);</w:t>
            </w:r>
          </w:p>
          <w:p w:rsidR="00783659" w:rsidRDefault="00783659" w:rsidP="00ED7AF3">
            <w:pPr>
              <w:spacing w:after="0"/>
              <w:ind w:left="360" w:hanging="21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zmiany w badaniu rezonansu magnetycznego wykonanym  po każdych 12 miesiącach, gdy stwierdza się jedno z poniższych:</w:t>
            </w:r>
          </w:p>
          <w:p w:rsidR="00783659" w:rsidRPr="004C753E" w:rsidRDefault="00783659" w:rsidP="00ED7AF3">
            <w:pPr>
              <w:spacing w:after="0"/>
              <w:ind w:left="56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więcej niż jedna nowa zmiana Gd (+),</w:t>
            </w:r>
          </w:p>
          <w:p w:rsidR="00783659" w:rsidRPr="004C753E" w:rsidRDefault="00783659" w:rsidP="00ED7AF3">
            <w:pPr>
              <w:spacing w:after="0"/>
              <w:ind w:left="567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więcej niż dwie nowe zmiany w sekwencji T2.</w:t>
            </w:r>
          </w:p>
          <w:p w:rsidR="00783659" w:rsidRPr="004C753E" w:rsidRDefault="00783659" w:rsidP="001D5CB5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83659" w:rsidRPr="004C753E" w:rsidRDefault="00783659" w:rsidP="00ED7AF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Przeciwwskazania bezwzględne do stosowania fingolimodu:</w:t>
            </w:r>
          </w:p>
          <w:p w:rsidR="00783659" w:rsidRPr="00796980" w:rsidRDefault="00783659" w:rsidP="00ED7AF3">
            <w:pPr>
              <w:spacing w:after="0"/>
              <w:rPr>
                <w:rFonts w:ascii="Times New Roman" w:hAnsi="Times New Roman" w:cs="Times New Roman"/>
                <w:color w:val="000000"/>
                <w:sz w:val="6"/>
                <w:szCs w:val="20"/>
              </w:rPr>
            </w:pPr>
          </w:p>
          <w:p w:rsidR="00783659" w:rsidRPr="004C753E" w:rsidRDefault="00783659" w:rsidP="00ED7AF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Przeciwwskazaniem do leczenia fingolimodem jest spełnienie co najmniej jednego z niżej wymienionych kryteriów: </w:t>
            </w: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ze zwiększonym ryzykiem wystąpienia zakażeń oportunistycznych, w tym:</w:t>
            </w:r>
          </w:p>
          <w:p w:rsidR="00783659" w:rsidRPr="004C753E" w:rsidRDefault="00783659" w:rsidP="00ED7AF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 rozpoznanym zespołem niedoboru odporności,</w:t>
            </w:r>
          </w:p>
          <w:p w:rsidR="00783659" w:rsidRPr="004C753E" w:rsidRDefault="00783659" w:rsidP="00ED7AF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osoby przyjmujące aktualnie leki immunosupresyjne,</w:t>
            </w:r>
          </w:p>
          <w:p w:rsidR="00783659" w:rsidRPr="004C753E" w:rsidRDefault="00783659" w:rsidP="00ED7AF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ze zmniejszoną odpornością powstałą w wyniku wcześniejszego leczenia immunosupresyjnego;</w:t>
            </w:r>
          </w:p>
          <w:p w:rsidR="00783659" w:rsidRPr="004C753E" w:rsidRDefault="00783659" w:rsidP="00ED7AF3">
            <w:pPr>
              <w:spacing w:after="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Ciężkie aktywne zakażenia oraz aktywne przewlekłe zakażenia w szczególności zapalenie wątroby, gruźlica;</w:t>
            </w:r>
          </w:p>
          <w:p w:rsidR="00783659" w:rsidRPr="004C753E" w:rsidRDefault="00783659" w:rsidP="00ED7AF3">
            <w:pPr>
              <w:spacing w:after="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Rozpoznane czynne choroby nowotworowe, z wyjątkiem pacjentów z rakiem podstawnokomórkowym skóry;</w:t>
            </w:r>
          </w:p>
          <w:p w:rsidR="00783659" w:rsidRPr="004C753E" w:rsidRDefault="00783659" w:rsidP="00ED7AF3">
            <w:pPr>
              <w:spacing w:after="0"/>
              <w:ind w:left="374" w:hanging="34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Ciężkie zaburzenia czynności wątroby (stopnia C wg Child-Pugh);</w:t>
            </w:r>
          </w:p>
          <w:p w:rsidR="00783659" w:rsidRPr="004C753E" w:rsidRDefault="00783659" w:rsidP="00ED7AF3">
            <w:pPr>
              <w:spacing w:after="0"/>
              <w:ind w:left="360" w:hanging="3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Nadwrażliwość na substancję czynną lub na którąkolwiek substancję pomocniczą;</w:t>
            </w:r>
          </w:p>
          <w:p w:rsidR="00783659" w:rsidRPr="004C753E" w:rsidRDefault="00783659" w:rsidP="00ED7AF3">
            <w:pPr>
              <w:spacing w:after="0"/>
              <w:ind w:left="388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 z chorobą niedokrwienną serca, chorobą węzła zatokowego, wywiadem w kierunku zawału serca oraz leczeni lekami antyarytmicznymi klasy Ia lub III;</w:t>
            </w: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Pacjenci, którzy nie przebyli ospy wietrznej lub nie zostali przeciw niej zaszczepieni i nie występują u nich przeciwciała przeciw wirusowi ospy wietrznej i półpaśca (Varicella-Zoster virus, VZV);</w:t>
            </w:r>
          </w:p>
          <w:p w:rsidR="00783659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8)   Pacjenci z wtórnie postępującą postacią choroby.</w:t>
            </w:r>
          </w:p>
          <w:p w:rsidR="001413F4" w:rsidRPr="004C753E" w:rsidRDefault="001413F4" w:rsidP="001D5CB5">
            <w:pPr>
              <w:spacing w:after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796980" w:rsidRDefault="00783659" w:rsidP="001D5CB5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2"/>
                <w:szCs w:val="20"/>
              </w:rPr>
            </w:pPr>
          </w:p>
          <w:p w:rsidR="00783659" w:rsidRPr="004C753E" w:rsidRDefault="00783659" w:rsidP="00ED7AF3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Przeciwwskazania względne do stosowania:</w:t>
            </w:r>
          </w:p>
          <w:p w:rsidR="00783659" w:rsidRPr="00A05944" w:rsidRDefault="00783659" w:rsidP="00ED7AF3">
            <w:pPr>
              <w:spacing w:after="0"/>
              <w:ind w:left="360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  <w:p w:rsidR="00783659" w:rsidRPr="004C753E" w:rsidRDefault="00783659" w:rsidP="00ED7AF3">
            <w:pPr>
              <w:spacing w:after="0"/>
              <w:ind w:hanging="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zaleca się stosowania fingolimodu:</w:t>
            </w:r>
          </w:p>
          <w:p w:rsidR="00783659" w:rsidRPr="00D16754" w:rsidRDefault="00783659" w:rsidP="00ED7AF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84" w:hanging="284"/>
              <w:rPr>
                <w:color w:val="000000"/>
                <w:sz w:val="20"/>
                <w:szCs w:val="20"/>
              </w:rPr>
            </w:pPr>
            <w:r w:rsidRPr="00D16754">
              <w:rPr>
                <w:color w:val="000000"/>
                <w:sz w:val="20"/>
                <w:szCs w:val="20"/>
              </w:rPr>
              <w:t>U pacjentów spełniających  co najmniej jedno  kryterium z niżej wymienionych: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blok drugiego stopnia typu Mobitz II lub blok przedsionkowo-komorowy wyższego stopnia;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blok zatokowo-przedsionkowy;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istotne wydłużenie QT (QTc&gt;470 milisekund u kobiet lub&gt;450 milisekund u mężczyzn);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wywiad w kierunku objawowej bradykardii lub nawracających omdleń;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choroba naczyń mózgowych;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wywiad w kierunku zastoinowej niewydolności krążenia;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wywiad w kierunku zatrzymania krążenia;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niekontrolowane nadciśnienie tętnicze;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ciężki zespół bezdechu sennego;</w:t>
            </w:r>
          </w:p>
          <w:p w:rsidR="00783659" w:rsidRPr="004C753E" w:rsidRDefault="00783659" w:rsidP="00ED7AF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 xml:space="preserve">obrzęk plamki żółtej. </w:t>
            </w:r>
          </w:p>
          <w:p w:rsidR="00783659" w:rsidRPr="004C753E" w:rsidRDefault="00783659" w:rsidP="00ED7AF3">
            <w:pPr>
              <w:pStyle w:val="ListParagraph"/>
              <w:spacing w:line="276" w:lineRule="auto"/>
              <w:ind w:left="567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Ze względu na zwiększone ryzyko wystąpienia obrzęku plamki żółtej lek należy stosować ostrożnie u pacjentów z wywiadem w kierunku cukrzycy oraz zapalenia błony naczyniowej oka.</w:t>
            </w:r>
          </w:p>
          <w:p w:rsidR="00783659" w:rsidRPr="00D16754" w:rsidRDefault="00783659" w:rsidP="00EA5A1E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84" w:hanging="284"/>
              <w:rPr>
                <w:color w:val="000000"/>
                <w:sz w:val="20"/>
                <w:szCs w:val="20"/>
              </w:rPr>
            </w:pPr>
            <w:r w:rsidRPr="00D16754">
              <w:rPr>
                <w:color w:val="000000"/>
                <w:sz w:val="20"/>
                <w:szCs w:val="20"/>
              </w:rPr>
              <w:t>U pacjentów przyjmujących następujące leki przeciwarytmiczne lub zwalniające rytm serca:</w:t>
            </w:r>
          </w:p>
          <w:p w:rsidR="00783659" w:rsidRPr="00D16754" w:rsidRDefault="00783659" w:rsidP="00EA5A1E">
            <w:pPr>
              <w:pStyle w:val="ListParagraph"/>
              <w:numPr>
                <w:ilvl w:val="1"/>
                <w:numId w:val="24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6754">
              <w:rPr>
                <w:color w:val="000000"/>
                <w:sz w:val="20"/>
                <w:szCs w:val="20"/>
              </w:rPr>
              <w:t>leki beta-adrenolityczne;</w:t>
            </w:r>
          </w:p>
          <w:p w:rsidR="00783659" w:rsidRPr="00D16754" w:rsidRDefault="00783659" w:rsidP="00EA5A1E">
            <w:pPr>
              <w:pStyle w:val="ListParagraph"/>
              <w:numPr>
                <w:ilvl w:val="1"/>
                <w:numId w:val="24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6754">
              <w:rPr>
                <w:color w:val="000000"/>
                <w:sz w:val="20"/>
                <w:szCs w:val="20"/>
              </w:rPr>
              <w:t>antagoniści kanału wapniowego zwalniający akcję serca (np. werapamil, diltiazem lub iwabradyna);</w:t>
            </w:r>
          </w:p>
          <w:p w:rsidR="00783659" w:rsidRPr="00D16754" w:rsidRDefault="00783659" w:rsidP="00EA5A1E">
            <w:pPr>
              <w:pStyle w:val="ListParagraph"/>
              <w:numPr>
                <w:ilvl w:val="1"/>
                <w:numId w:val="24"/>
              </w:numPr>
              <w:spacing w:line="276" w:lineRule="auto"/>
              <w:ind w:left="567" w:hanging="283"/>
              <w:rPr>
                <w:color w:val="000000"/>
                <w:sz w:val="20"/>
                <w:szCs w:val="20"/>
              </w:rPr>
            </w:pPr>
            <w:r w:rsidRPr="00D16754">
              <w:rPr>
                <w:color w:val="000000"/>
                <w:sz w:val="20"/>
                <w:szCs w:val="20"/>
              </w:rPr>
              <w:t xml:space="preserve">inne substancje mogące zwalniać akcję serca </w:t>
            </w:r>
            <w:r w:rsidRPr="00D16754">
              <w:rPr>
                <w:color w:val="000000"/>
                <w:sz w:val="20"/>
                <w:szCs w:val="20"/>
              </w:rPr>
              <w:br/>
              <w:t>(np. digoksyna, antagoniści cholinoesterazy lub pilokarpina).</w:t>
            </w:r>
          </w:p>
          <w:p w:rsidR="00783659" w:rsidRPr="00796980" w:rsidRDefault="00783659" w:rsidP="001D5C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  <w:p w:rsidR="00783659" w:rsidRPr="004C753E" w:rsidRDefault="00783659" w:rsidP="00EA5A1E">
            <w:pPr>
              <w:spacing w:after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Kryteria wyłączenia:</w:t>
            </w:r>
          </w:p>
          <w:p w:rsidR="00783659" w:rsidRPr="00DF5235" w:rsidRDefault="00783659" w:rsidP="00EA5A1E">
            <w:pPr>
              <w:spacing w:after="0"/>
              <w:ind w:left="360" w:hanging="360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Kryterium wyłączenia z leczenia fingolimodem jest spełnienie co najmniej jednego z niżej wymienionych kryteriów: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Rezygnacja pacjenta 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Ciąża;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Spełnienie kryteriów nieskuteczności leczenia zawartych w pkt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Utrzymujący się, spadek liczby limfocytów poniżej 0.2 x 10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/l;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Utrzymujące się i niebędące wynikiem innego procesu chorobowego zwiększenie aktywności aminotransferaz wątrobowych powyżej pięciokrotności górnej granicy normy lub zwiększenie stężenia bilirubiny w surowicy;</w:t>
            </w:r>
          </w:p>
          <w:p w:rsidR="00783659" w:rsidRPr="004C753E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Wystąpienie innych zdarzeń niepożądanych związanych z leczeniem, niepoddających się rutynowemu postępowaniu;</w:t>
            </w:r>
          </w:p>
          <w:p w:rsidR="00783659" w:rsidRPr="004313E8" w:rsidRDefault="00783659" w:rsidP="00EA5A1E">
            <w:pPr>
              <w:numPr>
                <w:ilvl w:val="0"/>
                <w:numId w:val="12"/>
              </w:numPr>
              <w:spacing w:after="0"/>
              <w:ind w:left="284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Przejście w postać wtórnie postępującą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83659" w:rsidRPr="004C753E" w:rsidRDefault="00783659" w:rsidP="001D5CB5">
            <w:pPr>
              <w:spacing w:after="0"/>
              <w:ind w:left="436" w:hanging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83659" w:rsidRPr="004C753E" w:rsidRDefault="00783659" w:rsidP="00EA5A1E">
            <w:pPr>
              <w:spacing w:after="0"/>
              <w:ind w:left="578" w:hanging="5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Określenie czasu leczenia w programie: </w:t>
            </w:r>
          </w:p>
          <w:p w:rsidR="00783659" w:rsidRPr="00DF5235" w:rsidRDefault="00783659" w:rsidP="00EA5A1E">
            <w:pPr>
              <w:spacing w:after="0"/>
              <w:ind w:left="142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Ocenę skuteczności leczenia przeprowadza się po każdych pełnych 12 miesiącach terapii. </w:t>
            </w: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 chorych odpowiadających na leczenie po ocenie skuteczności, terapię fingolimodem można przedłużać o kolejne 12 miesięcy. </w:t>
            </w: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Łączny czas leczenia pacjenta, lekami modyfikującymi przebieg choroby, zależy od decyzji lekarza, nie może jednak przekraczać 60 miesięcy.</w:t>
            </w: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przypadku wystąpienia, w początkowym okresie leczenia, objawów niepożądanych lub ze względu na bezpieczeństwo chorego, dopuszcza się w </w:t>
            </w:r>
            <w:r w:rsidRPr="00A05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ramach programu 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zamianę na lek o innym mechanizmie działania.</w:t>
            </w:r>
          </w:p>
          <w:p w:rsidR="00783659" w:rsidRPr="00A05944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59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Przesłanki do zmiany terapii, wymienione w poprzednim zdaniu nie są tożsame z brakiem skuteczności wdrożonego leczenia.</w:t>
            </w: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brak skuteczności leczenia fingolimodem, uzasadniający zmianę leczenia lub przerwanie leczenia,  przyjmuje się wystąpienie jednej z poniższych sytuacji:</w:t>
            </w: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Przejście w postać wtórnie postępującą lub</w:t>
            </w:r>
          </w:p>
          <w:p w:rsidR="00783659" w:rsidRPr="004C753E" w:rsidRDefault="00783659" w:rsidP="00EA5A1E">
            <w:pPr>
              <w:spacing w:after="0"/>
              <w:ind w:left="578" w:hanging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Wystąpienie 2 z 3 poniższych  kryteriów:</w:t>
            </w:r>
          </w:p>
          <w:p w:rsidR="00783659" w:rsidRPr="004C753E" w:rsidRDefault="00783659" w:rsidP="00EA5A1E">
            <w:pPr>
              <w:spacing w:after="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liczba i ciężkość rzutów:</w:t>
            </w:r>
          </w:p>
          <w:p w:rsidR="00783659" w:rsidRPr="004C753E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lub więcej rzutów umiarkowanych wymagających leczenia sterydami (wzrost EDSS o 1 do 2 pkt lub wzrost o 2 pkt w zakresie jednego lub dwóch układów funkcjonalnych lub o 1 pkt w zakresie czterech lub większej liczbie układów funkcjonalnych) lub </w:t>
            </w:r>
          </w:p>
          <w:p w:rsidR="00783659" w:rsidRPr="004C753E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1 ciężki rzut  wymagający leczenia sterydami po 6 miesiącach leczenia (wzrost EDSS większy niż w definicji rzutu umiarkowanego)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83659" w:rsidRPr="004C753E" w:rsidRDefault="00783659" w:rsidP="00EA5A1E">
            <w:pPr>
              <w:spacing w:after="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progresja choroby mimo leczenia, co oznacza utrzymujące się przez co najmniej 3 miesiące pogorszenie się stanu neurologicznego o co najmniej:</w:t>
            </w:r>
          </w:p>
          <w:p w:rsidR="00783659" w:rsidRPr="004C753E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- 2 pkt EDSS, gdy EDSS do 3,5,</w:t>
            </w:r>
          </w:p>
          <w:p w:rsidR="00783659" w:rsidRPr="004C753E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pkt EDSS, gdy EDSS od 4,0;</w:t>
            </w:r>
          </w:p>
          <w:p w:rsidR="00783659" w:rsidRPr="004C753E" w:rsidRDefault="00783659" w:rsidP="00EA5A1E">
            <w:pPr>
              <w:spacing w:after="0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zmiany w badaniu rezonansu magnetycznego wykonanym po każdych 12 miesiącach, gdy stwierdza się jedno z poniższych:</w:t>
            </w:r>
          </w:p>
          <w:p w:rsidR="00783659" w:rsidRPr="004C753E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więcej niż jedna nowa zmiana Gd (+),   </w:t>
            </w:r>
          </w:p>
          <w:p w:rsidR="00783659" w:rsidRDefault="00783659" w:rsidP="00EA5A1E">
            <w:pPr>
              <w:spacing w:after="0"/>
              <w:ind w:left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więcej niż dwie nowe zmiany w sekwencji T2.</w:t>
            </w:r>
          </w:p>
          <w:p w:rsidR="00783659" w:rsidRPr="004C753E" w:rsidRDefault="00783659" w:rsidP="001D5CB5">
            <w:pPr>
              <w:spacing w:after="0"/>
              <w:ind w:left="720" w:hanging="57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C7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Kryteria przedłużenia leczenia o kolejne 12 miesięcy:</w:t>
            </w:r>
          </w:p>
          <w:p w:rsidR="00783659" w:rsidRPr="00796980" w:rsidRDefault="00783659" w:rsidP="00EA5A1E">
            <w:pPr>
              <w:spacing w:after="0"/>
              <w:ind w:left="142"/>
              <w:rPr>
                <w:rFonts w:ascii="Times New Roman" w:hAnsi="Times New Roman" w:cs="Times New Roman"/>
                <w:color w:val="000000"/>
                <w:sz w:val="12"/>
                <w:szCs w:val="20"/>
              </w:rPr>
            </w:pP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Leczenie może zostać przedłużone o kolejne 12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 xml:space="preserve">miesięcy, jeżeli </w:t>
            </w: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zostaną spełnione 2 z 3 niżej wymienionych kryteriów: </w:t>
            </w:r>
          </w:p>
          <w:p w:rsidR="00783659" w:rsidRPr="00662D95" w:rsidRDefault="00783659" w:rsidP="00EA5A1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662D95">
              <w:rPr>
                <w:color w:val="000000"/>
                <w:sz w:val="20"/>
                <w:szCs w:val="20"/>
              </w:rPr>
              <w:t>liczba i ciężkość rzutów: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C753E">
              <w:rPr>
                <w:color w:val="000000"/>
                <w:sz w:val="20"/>
                <w:szCs w:val="20"/>
              </w:rPr>
              <w:t xml:space="preserve">brak rzutów lub rzuty łagodne (wzrost EDSS </w:t>
            </w:r>
            <w:r w:rsidRPr="004C753E">
              <w:rPr>
                <w:sz w:val="20"/>
                <w:szCs w:val="20"/>
              </w:rPr>
              <w:t xml:space="preserve">w trakcie rzutu </w:t>
            </w:r>
            <w:r w:rsidRPr="004C753E">
              <w:rPr>
                <w:color w:val="000000"/>
                <w:sz w:val="20"/>
                <w:szCs w:val="20"/>
              </w:rPr>
              <w:t xml:space="preserve">o 0.5 pkt lub o 1 pkt w zakresie jednego do trzech układów funkcjonalnych) lub 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C753E">
              <w:rPr>
                <w:color w:val="000000"/>
                <w:sz w:val="20"/>
                <w:szCs w:val="20"/>
              </w:rPr>
              <w:t xml:space="preserve">1 rzut umiarkowany (wzrost EDSS </w:t>
            </w:r>
            <w:r w:rsidRPr="004C753E">
              <w:rPr>
                <w:sz w:val="20"/>
                <w:szCs w:val="20"/>
              </w:rPr>
              <w:t xml:space="preserve">w trakcie rzutu </w:t>
            </w:r>
            <w:r w:rsidRPr="004C753E">
              <w:rPr>
                <w:color w:val="000000"/>
                <w:sz w:val="20"/>
                <w:szCs w:val="20"/>
              </w:rPr>
              <w:t xml:space="preserve">o 1 do 2 pkt lub 2 pkt w zakresie jednego do dwóch układów </w:t>
            </w:r>
            <w:r w:rsidRPr="004C753E">
              <w:rPr>
                <w:color w:val="000000"/>
                <w:sz w:val="20"/>
                <w:szCs w:val="20"/>
              </w:rPr>
              <w:lastRenderedPageBreak/>
              <w:t xml:space="preserve">funkcjonalnych lub o 1 pkt w czterech lub większej liczbie układów funkcjonalnych) lub </w:t>
            </w:r>
          </w:p>
          <w:p w:rsidR="00783659" w:rsidRPr="00662D95" w:rsidRDefault="00783659" w:rsidP="00EA5A1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662D95">
              <w:rPr>
                <w:color w:val="000000"/>
                <w:sz w:val="20"/>
                <w:szCs w:val="20"/>
              </w:rPr>
              <w:t>brak progresji choroby w okresie ostatniego roku leczenia: różnica w skali EDSS poniżej 1 pkt;</w:t>
            </w:r>
          </w:p>
          <w:p w:rsidR="00783659" w:rsidRPr="00662D95" w:rsidRDefault="00783659" w:rsidP="00EA5A1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662D95">
              <w:rPr>
                <w:color w:val="000000"/>
                <w:sz w:val="20"/>
                <w:szCs w:val="20"/>
              </w:rPr>
              <w:t>brak wyraźnych cech aktywności i progresji choroby w badaniu MRI z podaniem kontrastu  (nie więcej niż jedna nowa zmiana Gd+ lub dwie nowe zmiany w sekwencji T2).</w:t>
            </w:r>
          </w:p>
          <w:p w:rsidR="00286DAA" w:rsidRDefault="00286DAA" w:rsidP="00286DAA">
            <w:pPr>
              <w:pStyle w:val="ListParagraph"/>
              <w:spacing w:line="276" w:lineRule="auto"/>
              <w:ind w:left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783659" w:rsidRPr="004C753E" w:rsidRDefault="00286DAA" w:rsidP="00EA5A1E">
            <w:pPr>
              <w:pStyle w:val="ListParagraph"/>
              <w:spacing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 w:rsidRPr="00286DA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7.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659" w:rsidRPr="004C753E">
              <w:rPr>
                <w:b/>
                <w:bCs/>
                <w:color w:val="000000"/>
                <w:sz w:val="20"/>
                <w:szCs w:val="20"/>
              </w:rPr>
              <w:t>Kryteria kwalifikacji do leczenia natalizumabem w ramach programu:</w:t>
            </w:r>
          </w:p>
          <w:p w:rsidR="00783659" w:rsidRPr="00D16754" w:rsidRDefault="00783659" w:rsidP="00EA5A1E">
            <w:pPr>
              <w:pStyle w:val="ListParagraph"/>
              <w:spacing w:line="276" w:lineRule="auto"/>
              <w:ind w:left="360"/>
              <w:rPr>
                <w:b/>
                <w:bCs/>
                <w:color w:val="000000"/>
                <w:sz w:val="12"/>
                <w:szCs w:val="20"/>
              </w:rPr>
            </w:pPr>
          </w:p>
          <w:p w:rsidR="00783659" w:rsidRPr="004C753E" w:rsidRDefault="00783659" w:rsidP="00EA5A1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leczenia substancją czynną natalizumab kwalifikowani są pacjenci spełniający łącznie następujące kryteria:</w:t>
            </w:r>
          </w:p>
          <w:p w:rsidR="00783659" w:rsidRPr="00DF5235" w:rsidRDefault="00783659" w:rsidP="00EA5A1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20"/>
              </w:rPr>
            </w:pP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.1. Wiek od 18 roku życia;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.2. Rozpoznanie postaci rzutowej (nawracająco-ustępującej) stwardnienia rozsianego – oparte na kryteriach diagnostycznych McDonalda (</w:t>
            </w:r>
            <w:r>
              <w:rPr>
                <w:color w:val="000000"/>
                <w:sz w:val="20"/>
                <w:szCs w:val="20"/>
              </w:rPr>
              <w:t>2010</w:t>
            </w:r>
            <w:r w:rsidRPr="004C753E">
              <w:rPr>
                <w:color w:val="000000"/>
                <w:sz w:val="20"/>
                <w:szCs w:val="20"/>
              </w:rPr>
              <w:t xml:space="preserve">) i spełnianie kryteriów określonych w  pkt. 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 xml:space="preserve">.3. i 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.7. albo pkt.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 xml:space="preserve">.4. i 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.7.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 xml:space="preserve">.3. Pacjenci, u których stwierdza się brak skuteczności terapii  interferonem beta lub octanem glatirameru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4C753E">
              <w:rPr>
                <w:color w:val="000000"/>
                <w:sz w:val="20"/>
                <w:szCs w:val="20"/>
              </w:rPr>
              <w:t>o minimum  12-tu miesiącach terapii, definiowany jako spełnienie obu poniższych warunków: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liczba i ciężkość rzutów:</w:t>
            </w:r>
          </w:p>
          <w:p w:rsidR="00783659" w:rsidRPr="004C753E" w:rsidRDefault="00783659" w:rsidP="00EA5A1E">
            <w:pPr>
              <w:pStyle w:val="ListParagraph"/>
              <w:numPr>
                <w:ilvl w:val="1"/>
                <w:numId w:val="21"/>
              </w:numPr>
              <w:spacing w:line="276" w:lineRule="auto"/>
              <w:ind w:left="709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2 lub więcej rzutów umiarkowanych wymagających leczenia sterydami (wzrost EDSS o 1 do 2 pkt lub wzrost o 2 pkt w zakresie jednego lub dwóch układów funkcjonalnych lub o 1 pkt w czterech lub  większej liczbie układów funkcjonalnych)  lub</w:t>
            </w:r>
          </w:p>
          <w:p w:rsidR="00783659" w:rsidRPr="004C753E" w:rsidRDefault="00783659" w:rsidP="00EA5A1E">
            <w:pPr>
              <w:pStyle w:val="ListParagraph"/>
              <w:numPr>
                <w:ilvl w:val="1"/>
                <w:numId w:val="21"/>
              </w:numPr>
              <w:spacing w:line="276" w:lineRule="auto"/>
              <w:ind w:left="709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1 ciężki rzut po 6 miesiącach wymagający leczenia sterydami (wzrost w EDSS większy niż w definicji rzutu umiarkowanego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lastRenderedPageBreak/>
              <w:t xml:space="preserve">zmiany w badaniu  rezonansu magnetycznego </w:t>
            </w:r>
            <w:r w:rsidRPr="004C753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753E">
              <w:rPr>
                <w:color w:val="000000"/>
                <w:sz w:val="20"/>
                <w:szCs w:val="20"/>
              </w:rPr>
              <w:t>wykonanym  po każdych 12 miesiącach gdy stwierdza się jedno z poniższych: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 xml:space="preserve">więcej niż jedna nowa zmiana GD(+) 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754" w:hanging="357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więcej niż dwie nowe zmiany w sekwencji T2 (w sumie nie mniej niż 9 zmian);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 xml:space="preserve">.4. Szybko rozwijająca  się, ciężka postać choroby rozpoznawana kiedy zostaną spełnione oba poniższe parametry : 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a) liczba i ciężkość rzutów: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 xml:space="preserve"> -  co najmniej dwa  rzuty wymagające leczenia sterydami powodujące niesprawność (w czasie rzutu wzrost EDSS o minimum 2 pkt)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 xml:space="preserve">b) zmiany w badaniu  rezonansu magnetycznego            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C753E">
              <w:rPr>
                <w:color w:val="000000"/>
                <w:sz w:val="20"/>
                <w:szCs w:val="20"/>
              </w:rPr>
              <w:t>więcej niż jedna nowa zmiana GD(+) lub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C753E">
              <w:rPr>
                <w:color w:val="000000"/>
                <w:sz w:val="20"/>
                <w:szCs w:val="20"/>
              </w:rPr>
              <w:t>więcej niż dwie nowe zmiany w sekwencji T2  (w sumie nie mniej niż 9 zmian)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.5. Zapoznanie się przez pacjenta z ustną i pisemną informacją dotyczącą programu. Podpisanie formularza świadomej  zgody przez pacjenta i lekarza prowadzącego. Jeden komplet dokumentów pozostaje w Ośrodku, drugi zostaje przekazany pacjentowi;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4C753E">
              <w:rPr>
                <w:color w:val="000000"/>
                <w:sz w:val="20"/>
                <w:szCs w:val="20"/>
              </w:rPr>
              <w:t>.6. Przekazanie i potwierdzenie otrzymania karty pacjenta</w:t>
            </w:r>
            <w:r w:rsidRPr="004C753E">
              <w:rPr>
                <w:bCs/>
                <w:color w:val="000000"/>
                <w:sz w:val="20"/>
                <w:szCs w:val="20"/>
              </w:rPr>
              <w:t>;</w:t>
            </w:r>
          </w:p>
          <w:p w:rsidR="00783659" w:rsidRDefault="00783659" w:rsidP="00EA5A1E">
            <w:pPr>
              <w:pStyle w:val="ListParagraph"/>
              <w:spacing w:line="276" w:lineRule="auto"/>
              <w:ind w:left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C753E">
              <w:rPr>
                <w:bCs/>
                <w:color w:val="000000"/>
                <w:sz w:val="20"/>
                <w:szCs w:val="20"/>
              </w:rPr>
              <w:t>.7. Brak stwierdzonej obecności przeciwciał anty-JCV.</w:t>
            </w:r>
          </w:p>
          <w:p w:rsidR="00770CE5" w:rsidRPr="004C753E" w:rsidRDefault="00770CE5" w:rsidP="001D5CB5">
            <w:pPr>
              <w:pStyle w:val="ListParagraph"/>
              <w:spacing w:line="276" w:lineRule="auto"/>
              <w:ind w:left="0"/>
              <w:rPr>
                <w:bCs/>
                <w:color w:val="000000"/>
                <w:sz w:val="20"/>
                <w:szCs w:val="20"/>
              </w:rPr>
            </w:pPr>
          </w:p>
          <w:p w:rsidR="00CA2A82" w:rsidRDefault="00CA2A82" w:rsidP="00CA2A82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  <w:p w:rsidR="00783659" w:rsidRPr="00CA2A82" w:rsidRDefault="00B410F4" w:rsidP="00CA2A82">
            <w:pPr>
              <w:pStyle w:val="ListParagraph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CA2A82" w:rsidRPr="00CA2A82">
              <w:rPr>
                <w:b/>
                <w:color w:val="000000"/>
                <w:sz w:val="20"/>
                <w:szCs w:val="20"/>
              </w:rPr>
              <w:t>.</w:t>
            </w:r>
            <w:r w:rsidR="00CA2A82">
              <w:rPr>
                <w:color w:val="000000"/>
                <w:sz w:val="20"/>
                <w:szCs w:val="20"/>
              </w:rPr>
              <w:t xml:space="preserve"> </w:t>
            </w:r>
            <w:r w:rsidR="00783659" w:rsidRPr="004C753E">
              <w:rPr>
                <w:b/>
                <w:bCs/>
                <w:color w:val="000000"/>
                <w:sz w:val="20"/>
                <w:szCs w:val="20"/>
              </w:rPr>
              <w:t>Przeciwskazania do stosowania natalizumabu:</w:t>
            </w:r>
          </w:p>
          <w:p w:rsidR="00783659" w:rsidRPr="00D16754" w:rsidRDefault="00783659" w:rsidP="001D5CB5">
            <w:pPr>
              <w:pStyle w:val="ListParagraph"/>
              <w:spacing w:line="276" w:lineRule="auto"/>
              <w:ind w:left="360"/>
              <w:rPr>
                <w:b/>
                <w:bCs/>
                <w:color w:val="000000"/>
                <w:sz w:val="10"/>
                <w:szCs w:val="20"/>
              </w:rPr>
            </w:pPr>
          </w:p>
          <w:p w:rsidR="00783659" w:rsidRPr="004C753E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Wiek poniżej 18 roku życia;</w:t>
            </w:r>
          </w:p>
          <w:p w:rsidR="00783659" w:rsidRPr="004C753E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Ciąża i karmienie piersią;</w:t>
            </w:r>
          </w:p>
          <w:p w:rsidR="00783659" w:rsidRPr="004C753E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Postać wtórnie postępująca i pierwotnie postępująca SM;</w:t>
            </w:r>
          </w:p>
          <w:p w:rsidR="00783659" w:rsidRPr="004C753E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Skojarzenie z interferonem beta,  octanem glatirameru;</w:t>
            </w:r>
          </w:p>
          <w:p w:rsidR="00783659" w:rsidRPr="004C753E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 xml:space="preserve">Zwiększone ryzyko zakażeń oportunistycznych, w tym pacjenci z upośledzoną odpornością (obecnie leczeni lekami  immunosupresyjnymi lub z upośledzoną odpornością z </w:t>
            </w:r>
            <w:r w:rsidRPr="004C753E">
              <w:rPr>
                <w:color w:val="000000"/>
                <w:sz w:val="20"/>
                <w:szCs w:val="20"/>
              </w:rPr>
              <w:lastRenderedPageBreak/>
              <w:t>powodu wcześniej stosowanej terapii, np. mitoksantronem lub cyklofosfamidem). W przypadku braku zaburzeń odporności dopuszczalne jest leczenie po upłynięciu 6-ciu miesięcy od podania ostatniej dawki leku immunosupresyjnego;</w:t>
            </w:r>
          </w:p>
          <w:p w:rsidR="00783659" w:rsidRDefault="00783659" w:rsidP="0078365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  <w:r w:rsidRPr="004C753E">
              <w:rPr>
                <w:color w:val="000000"/>
                <w:sz w:val="20"/>
                <w:szCs w:val="20"/>
              </w:rPr>
              <w:t>Przeciwwskazania do wykonania rezonansu magnetycznego.</w:t>
            </w:r>
          </w:p>
          <w:p w:rsidR="00CA2A82" w:rsidRPr="004C753E" w:rsidRDefault="00CA2A82" w:rsidP="00CA2A82">
            <w:pPr>
              <w:pStyle w:val="ListParagraph"/>
              <w:spacing w:line="276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783659" w:rsidRPr="004C753E" w:rsidRDefault="00B410F4" w:rsidP="00EA5A1E">
            <w:pPr>
              <w:pStyle w:val="ListParagraph"/>
              <w:spacing w:line="276" w:lineRule="auto"/>
              <w:ind w:left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CA2A82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83659" w:rsidRPr="004C753E">
              <w:rPr>
                <w:b/>
                <w:bCs/>
                <w:color w:val="000000"/>
                <w:sz w:val="20"/>
                <w:szCs w:val="20"/>
              </w:rPr>
              <w:t>Kryteria wyłączenia:</w:t>
            </w:r>
          </w:p>
          <w:p w:rsidR="00783659" w:rsidRPr="00D16754" w:rsidRDefault="00783659" w:rsidP="00EA5A1E">
            <w:pPr>
              <w:pStyle w:val="ListParagraph"/>
              <w:spacing w:line="276" w:lineRule="auto"/>
              <w:ind w:left="360"/>
              <w:rPr>
                <w:color w:val="000000"/>
                <w:sz w:val="10"/>
                <w:szCs w:val="20"/>
              </w:rPr>
            </w:pP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Rezygnacja pacjenta;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Ciąża.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Nieprzestrzeganie zasad leczenia- pominięcie dwóch kolejnych dawek;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Postępująca wieloogniskowa leukoencefalopatia (PML);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708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a) w przypadku podejrzenia PML wstrzymanie podawania leku do czasu jego wykluczenia,</w:t>
            </w:r>
          </w:p>
          <w:p w:rsidR="00783659" w:rsidRPr="004C753E" w:rsidRDefault="00783659" w:rsidP="00EA5A1E">
            <w:pPr>
              <w:pStyle w:val="ListParagraph"/>
              <w:spacing w:line="276" w:lineRule="auto"/>
              <w:ind w:left="708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b) w przypadku potwierdzenia PML trwałe odstawienie leku.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Brak stabilizacji lub postęp choroby pomimo leczenia (dwa rzuty wymagające sterydoterapii lub pogorszenie o 2 punkty w EDSS w ciągu roku);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Reakcje nadwrażliwości  przy podaniu leku; 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Nieprawidłowe wyniki badań laboratoryjnych związane z leczeniem </w:t>
            </w:r>
            <w:r w:rsidR="00B410F4">
              <w:rPr>
                <w:sz w:val="20"/>
                <w:szCs w:val="20"/>
              </w:rPr>
              <w:t>natalizumabem</w:t>
            </w:r>
            <w:r w:rsidRPr="004C753E">
              <w:rPr>
                <w:sz w:val="20"/>
                <w:szCs w:val="20"/>
              </w:rPr>
              <w:t xml:space="preserve"> (powyżej 3 górna granica normy);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Nowotwory złośliwe;</w:t>
            </w:r>
          </w:p>
          <w:p w:rsidR="00783659" w:rsidRPr="004C753E" w:rsidRDefault="00783659" w:rsidP="00EA5A1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nne zakażenia oportunistyczne.</w:t>
            </w:r>
          </w:p>
          <w:p w:rsidR="00783659" w:rsidRPr="004C753E" w:rsidRDefault="00783659" w:rsidP="001D5CB5">
            <w:pPr>
              <w:pStyle w:val="ListParagraph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83659" w:rsidRPr="004C753E" w:rsidRDefault="00B410F4" w:rsidP="003E705E">
            <w:pPr>
              <w:spacing w:after="0"/>
              <w:ind w:left="578" w:hanging="57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783659"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Określenie czasu leczenia w programie: </w:t>
            </w:r>
          </w:p>
          <w:p w:rsidR="00783659" w:rsidRPr="00DF5235" w:rsidRDefault="00783659" w:rsidP="003E705E">
            <w:pPr>
              <w:spacing w:after="0"/>
              <w:ind w:left="142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 xml:space="preserve">Ocenę skuteczności leczenia przeprowadza się po każdych pełnych 12 miesiącach terapii. </w:t>
            </w: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 xml:space="preserve">U chorych odpowiadających na leczenie po ocenie skuteczności, terapię natalizumabem można przedłużać o kolejne 12 miesięcy. </w:t>
            </w: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 uwagi na podwyższone ryzyko PML, lekarz specjalista i pacjent powinni ponownie po 2 latach indywidualnie rozważyć korzyści i ryzyko leczenia </w:t>
            </w:r>
            <w:r w:rsidR="00B410F4">
              <w:rPr>
                <w:rFonts w:ascii="Times New Roman" w:hAnsi="Times New Roman" w:cs="Times New Roman"/>
                <w:sz w:val="20"/>
                <w:szCs w:val="20"/>
              </w:rPr>
              <w:t>natalizumabem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75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Łączny czas leczenia pacjenta, lekami modyfikującymi przebieg choroby, zależy od decyzji lekarza,  nie może jednak przekraczać 60 miesięcy.</w:t>
            </w: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W przypadku wystąpienia, w początkowym okresie leczenia, objawów niepożądanych lub ze względu na bezpieczeństwo chorego, dopuszcza się w ramach programu, zamianę na lek o innym mechanizmie działania.  Przesłanki do zmiany terapii, wymienione w poprzednim zdaniu, nie są tożsame z brakiem skuteczności wdrożonego leczenia.</w:t>
            </w: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Za brak skuteczności leczenia natalizumabem, uzasadniający zmianę leczenia lub przerwanie leczenia,  przyjmuje się wystąpienie jednej z poniższych sytuacji: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Przejście w postać wtórnie postępującą</w:t>
            </w:r>
            <w:r>
              <w:rPr>
                <w:sz w:val="20"/>
                <w:szCs w:val="20"/>
              </w:rPr>
              <w:t>;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Wystąpienie 2 z 3 poniższych  kryteriów: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218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liczba i ciężkość rzutów:</w:t>
            </w:r>
          </w:p>
          <w:p w:rsidR="00783659" w:rsidRPr="004C753E" w:rsidRDefault="00783659" w:rsidP="003E705E">
            <w:pPr>
              <w:spacing w:after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- 2 lub więcej rzutów umiarkowanych wymagających leczenia sterydami (wzrost EDSS o 1 do 2 pkt lub wzrost o 2 pkt w zakresie jednego lub dwóch układów funkcjonalnych lub o 1 pkt w zakresie czterech lub większej liczbie układów funkcjonalnych) lub</w:t>
            </w:r>
          </w:p>
          <w:p w:rsidR="00783659" w:rsidRPr="004C753E" w:rsidRDefault="00783659" w:rsidP="003E705E">
            <w:pPr>
              <w:spacing w:after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- 1 ciężki rzut wymagający leczenia sterydami po 6 miesiącach leczenia (wzrost w EDSS większy niż w definicji rzutu umiarkowanego)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3659" w:rsidRPr="004C753E" w:rsidRDefault="00783659" w:rsidP="003E705E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218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progresja choroby mimo leczenia, co oznacza utrzymujące się przez co najmniej 3 miesiące pogorszenie się stanu neurologicznego o co najmniej:</w:t>
            </w:r>
          </w:p>
          <w:p w:rsidR="00783659" w:rsidRPr="004C753E" w:rsidRDefault="00783659" w:rsidP="003E705E">
            <w:pPr>
              <w:pStyle w:val="ListParagraph"/>
              <w:spacing w:line="276" w:lineRule="auto"/>
              <w:ind w:left="42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- 2 pkt EDSS, gdy EDSS do 3,5,</w:t>
            </w:r>
          </w:p>
          <w:p w:rsidR="00783659" w:rsidRPr="004C753E" w:rsidRDefault="00783659" w:rsidP="003E705E">
            <w:pPr>
              <w:pStyle w:val="ListParagraph"/>
              <w:spacing w:line="276" w:lineRule="auto"/>
              <w:ind w:left="42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- 1 pkt EDSS, gdy EDSS od 4,0;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218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zmiany w badaniu rezonansu magnetycznego wykonanym po każdych 12 miesiącach, gdy stwierdza się jedno z poniższych:</w:t>
            </w:r>
          </w:p>
          <w:p w:rsidR="00783659" w:rsidRPr="004C753E" w:rsidRDefault="00783659" w:rsidP="003E705E">
            <w:pPr>
              <w:spacing w:after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więcej niż jedna nowa zmiana Gd (+),   </w:t>
            </w:r>
          </w:p>
          <w:p w:rsidR="00783659" w:rsidRPr="004C753E" w:rsidRDefault="00783659" w:rsidP="003E705E">
            <w:pPr>
              <w:spacing w:after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więcej niż dwie nowe zmiany w sekwencji T2.</w:t>
            </w:r>
          </w:p>
          <w:p w:rsidR="00783659" w:rsidRPr="004C753E" w:rsidRDefault="00783659" w:rsidP="001D5CB5">
            <w:pPr>
              <w:spacing w:after="0"/>
              <w:ind w:left="720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4C753E" w:rsidRDefault="00B410F4" w:rsidP="001D5C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83659"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Kryteria przedłużenia leczenia o kolejne 12 miesięcy:</w:t>
            </w:r>
          </w:p>
          <w:p w:rsidR="00783659" w:rsidRPr="00DF5235" w:rsidRDefault="00783659" w:rsidP="001D5CB5">
            <w:pPr>
              <w:spacing w:after="0"/>
              <w:ind w:left="142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783659" w:rsidRPr="004C753E" w:rsidRDefault="00783659" w:rsidP="003E70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 xml:space="preserve">Leczenie może zostać przedłużone o kolejne 12 miesięcy, jeżeli zostaną spełnione 2 z 3 niżej wymienionych kryteriów: 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liczba i ciężkość rzutów:</w:t>
            </w:r>
          </w:p>
          <w:p w:rsidR="00783659" w:rsidRPr="004C753E" w:rsidRDefault="00783659" w:rsidP="003E705E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 xml:space="preserve">brak rzutów lub rzuty łagodne (wzrost EDSS w trakcie rzutu o 0.5 pkt lub o 1 pkt w zakresie jednego do trzech układów funkcjonalnych) lub </w:t>
            </w:r>
          </w:p>
          <w:p w:rsidR="00783659" w:rsidRPr="004C753E" w:rsidRDefault="00783659" w:rsidP="003E705E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 rzut umiarkowany (wzrost EDSS w trakcie rzutu o 1 do 2 pkt lub 2 pkt w zakresie jednego do dwóch układów funkcjonalnych lub o 1 pkt w czterech lub większej liczbie układów funkcjonalnych)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:rsidR="00783659" w:rsidRPr="00840155" w:rsidRDefault="00783659" w:rsidP="003E705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brak progresji choroby w okresie ostatniego roku leczenia: różnica w skali EDSS poniżej 1 pkt;</w:t>
            </w:r>
          </w:p>
          <w:p w:rsidR="00783659" w:rsidRPr="001413F4" w:rsidRDefault="00783659" w:rsidP="003E705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  <w:r w:rsidRPr="00840155">
              <w:rPr>
                <w:sz w:val="20"/>
                <w:szCs w:val="20"/>
              </w:rPr>
              <w:t>brak wyraźnych cech aktywności i progresji choroby w badaniu MRI z podaniem kontrastu  (nie więcej niż jedna nowa zmiana Gd+ lub d</w:t>
            </w:r>
            <w:r w:rsidR="001413F4">
              <w:rPr>
                <w:sz w:val="20"/>
                <w:szCs w:val="20"/>
              </w:rPr>
              <w:t>wie nowe zmiany w sekwencji T2).</w:t>
            </w:r>
          </w:p>
        </w:tc>
        <w:tc>
          <w:tcPr>
            <w:tcW w:w="1431" w:type="pct"/>
          </w:tcPr>
          <w:p w:rsidR="00783659" w:rsidRPr="004C753E" w:rsidRDefault="004532F0" w:rsidP="00770CE5">
            <w:pPr>
              <w:pStyle w:val="ListParagraph"/>
              <w:spacing w:after="240"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783659" w:rsidRPr="004C753E">
              <w:rPr>
                <w:b/>
                <w:bCs/>
                <w:sz w:val="20"/>
                <w:szCs w:val="20"/>
              </w:rPr>
              <w:t>Fingolimod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Substancja czynna finansowana w ramach programu: chlorowodorek fingolimodu</w:t>
            </w:r>
          </w:p>
          <w:p w:rsidR="00783659" w:rsidRPr="004C753E" w:rsidRDefault="00783659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Postać farmaceutyczna, dawka:</w:t>
            </w:r>
          </w:p>
          <w:p w:rsidR="00783659" w:rsidRPr="004C753E" w:rsidRDefault="00783659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kapsułka twarda 0.5 mg.</w:t>
            </w:r>
          </w:p>
          <w:p w:rsidR="00783659" w:rsidRPr="004C753E" w:rsidRDefault="00783659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2F0" w:rsidRDefault="00783659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Zalecane dawkowanie fingolimodu to 0.5 mg doustnie raz na dobę.</w:t>
            </w:r>
          </w:p>
          <w:p w:rsidR="004532F0" w:rsidRDefault="004532F0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4532F0" w:rsidRDefault="004532F0" w:rsidP="00770C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783659" w:rsidRPr="00453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Natalizumab</w:t>
            </w:r>
          </w:p>
          <w:p w:rsidR="00783659" w:rsidRPr="004C753E" w:rsidRDefault="00783659" w:rsidP="00770CE5">
            <w:pPr>
              <w:pStyle w:val="ListParagraph"/>
              <w:spacing w:before="240"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Substancja czynna finansowana w ramach programu: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natalizumab</w:t>
            </w:r>
          </w:p>
          <w:p w:rsidR="00783659" w:rsidRPr="004C753E" w:rsidRDefault="00783659" w:rsidP="00770CE5">
            <w:pPr>
              <w:pStyle w:val="ListParagraph"/>
              <w:spacing w:before="240"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Postać farmaceutyczna, dawka: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koncentrat do sporządzania roztworu do infuzji 300 mg natalizumabu.</w:t>
            </w:r>
          </w:p>
          <w:p w:rsidR="001413F4" w:rsidRDefault="00783659" w:rsidP="00770CE5">
            <w:pPr>
              <w:pStyle w:val="ListParagraph"/>
              <w:spacing w:before="240"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Zalecane dawkowanie natalizumabu to 300 mg dożylnie, we wlewie kroplowym 100 ml 0,9% NaCl co 4 tygodnie.</w:t>
            </w:r>
          </w:p>
          <w:p w:rsidR="00783659" w:rsidRPr="001413F4" w:rsidRDefault="00783659" w:rsidP="00770CE5">
            <w:pPr>
              <w:pStyle w:val="ListParagraph"/>
              <w:spacing w:before="240"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lastRenderedPageBreak/>
              <w:t>Przerywając podawanie natalizumabu przed zastosowaniem alternatywnego leczenia należy uwzględnić, że natalizumab utrzymuje się we krwi i jego działania farmakodynamiczne trwają przez około 12 tygodni po podaniu ostatniej dawki.</w:t>
            </w:r>
          </w:p>
        </w:tc>
        <w:tc>
          <w:tcPr>
            <w:tcW w:w="1791" w:type="pct"/>
            <w:tcBorders>
              <w:right w:val="single" w:sz="4" w:space="0" w:color="auto"/>
            </w:tcBorders>
          </w:tcPr>
          <w:p w:rsidR="00783659" w:rsidRPr="004C753E" w:rsidRDefault="00783659" w:rsidP="00770CE5">
            <w:pPr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 Badania przy kwalifikacji do leczenia fingolimodem: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B052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Badania biochemiczne, w tym oceniające funkcję wątroby;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Morfologia krwi z rozmazem;</w:t>
            </w:r>
          </w:p>
          <w:p w:rsidR="00783659" w:rsidRPr="004C753E" w:rsidRDefault="00783659" w:rsidP="00770CE5">
            <w:pPr>
              <w:spacing w:after="0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Rezonans magnetyczny z kontrastem; rezonans magnetyczny wykonuje się w okresie kwalifikacji do programu. Jeżeli leczenie nie zostanie rozpoczęte do 30 dni od jego wykonania to badanie powtarza się tuż przed zastosowaniem pierwszej dawki leku;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1.4. Konsultacja kardiologiczna przed włą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czeniem leczenia fingolimodem u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pacjentów otrzymujących leki mogące zwalniać akcję serca (betablokery, werapamil, digoksyna, leki cholinolityczne, pilokarpina itp.) oraz u pacjentów z wywiadem w kierunku zaburzeń rytmu i przewodzenia, niewydolności serca, omdleń kardiogennych, lub innej znaczącej choroby serca;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1.5. Konsulta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cja okulistyczna - u pacjentów  </w:t>
            </w: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z wywiadem w kierunku cukrzycy lub zapalenia błony naczyniowej oka;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1.6. Oznaczenie poziomu przeciwciał przeciw wirusowi ospy wietrznej i półpaśca (VZV); w razie braku przeciwciał przeciw VZV konieczne jest przeprowadzenie szczepienia przeciw VZV miesiąc przed włączeniem leczenia fingolimodem;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1.7. U kobiet w wieku reprodukcyjnym – test ciążowy, który musi być negatywny przed rozpoczęciem leczenia fingolimodem;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1.8. Konsultacja dermatologiczna w ciągu 6 miesięcy przed rozpoczęciem leczenia.</w:t>
            </w:r>
          </w:p>
          <w:p w:rsidR="00783659" w:rsidRPr="00D16754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Ponadto pacjenci włączeni do leczenia fingolimodem powinni obligatoryjnie zapoznać się z materiałami edukacyjnymi dostarczonymi przez producenta leku w ramach tzw. „planu zarządzania ryzykiem” i potwierdzić ten fakt pisemnie w dokumentacji medycznej.</w:t>
            </w:r>
          </w:p>
          <w:p w:rsidR="00783659" w:rsidRPr="004C753E" w:rsidRDefault="00783659" w:rsidP="001D5CB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Inicjacja leczenia:</w:t>
            </w:r>
          </w:p>
          <w:p w:rsidR="00783659" w:rsidRPr="00DF5235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2.1. Inicjacja leczenia musi być przeprowadzona w warunkach krótkotrwałej hospitalizacji bądź w poradni przyszpitalnej, gdzie istnieje możliwość ciągłego monitorowania zapisu EKG, oraz pilnej hospitalizacji w razie konieczności leczenia zaburzeń rytmu lub w razie konieczności leczenia zaburzeń przewodzenia. Wszyscy pacjenci w dniu inicjacji leczenia muszą być poddani 6-godzinnej ciągłej obserwacji w kierunku potencjalnie mogących wystąpić zaburzeń rytmu lub przewodzenia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2.2. W toku opisanej inicjacji wykonuje się badania: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Badanie EKG z 12 odprowadzeniami oraz pomiar ciśnienia tętniczego bezpośrednio przez podaniem leku oraz po 6 godzinach od momentu podania leku;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Ciągłe monitorowanie EKG w czasie rzeczywistym (z użyciem kardiomonitora) w trakcie 6-godzinnej obserwacji po pierwszej dawce leku;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Pomiary ciśnienia tętniczego krwi i tętna co godzinę do zakończenia obserwacji, których wyniki musza być odnotowane w dokumentacji pacjenta;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W razie wystąpienia zaburzeń rytmu lub przewodzenia konieczne może być wykonanie dodatkowego badania EKG oraz przedłużenie monitorowania EKG do dnia następnego lub włączenie leczenia farmakologicznego;</w:t>
            </w:r>
          </w:p>
          <w:p w:rsidR="00783659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W przypadku  pacjentów z kardiologicznymi czynnikami ryzyka zdefiniowanymi w przeciwwskazaniach względnych obowiązkowa jest obserwacja do następnego dnia po włączeniu leczenia fingolimodem. U takich pacjentów </w:t>
            </w:r>
            <w:r w:rsidRPr="004C753E">
              <w:rPr>
                <w:sz w:val="20"/>
                <w:szCs w:val="20"/>
              </w:rPr>
              <w:lastRenderedPageBreak/>
              <w:t xml:space="preserve">konieczne jest przeprowadzenie konsultacji kardiologicznej przed planowanym włączeniem leczenia, a w przypadku pacjentów leczonych lekami zwalniającymi akcję serca zaleca się o ile jest to możliwe zmianę leczenia na takie, które nie powoduje zwolnienia akcji serca.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Identyczną procedurę monitorowania należy przeprowadzić również u pacjentów, u których doszło do przerwy w podawaniu fingolimodu trwającej dłużej niż 14 dni;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W przypadku wystąpienia istotnego wpływu na układ krążenia, obserwację pacjenta należy przedłużyć do czasu jego ustąpienia, nie krócej jednak niż do następnego dnia. Kryteria przedłużenia obserwacji obejmują:</w:t>
            </w:r>
          </w:p>
          <w:p w:rsidR="00783659" w:rsidRPr="004C753E" w:rsidRDefault="00783659" w:rsidP="00770CE5">
            <w:pPr>
              <w:spacing w:after="0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a) wystąpienie w dowolnym momencie  podczas 6-godzinnego okresu monitorowania pacjenta po podaniu pierwszej dawki fingolimodu bloku serca III stopnia,</w:t>
            </w:r>
          </w:p>
          <w:p w:rsidR="00783659" w:rsidRPr="004C753E" w:rsidRDefault="00783659" w:rsidP="00770CE5">
            <w:pPr>
              <w:spacing w:after="0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b) obecność poniższych objawów w momencie zakończenia 6-godzinnej obserwacji:</w:t>
            </w:r>
          </w:p>
          <w:p w:rsidR="00783659" w:rsidRPr="004C753E" w:rsidRDefault="00783659" w:rsidP="00770CE5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akcja serca poniżej 45 uderzeń na minutę,</w:t>
            </w:r>
          </w:p>
          <w:p w:rsidR="00783659" w:rsidRPr="004C753E" w:rsidRDefault="00783659" w:rsidP="00770CE5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wydłużenie odstępu QT &gt;500 milisekund,</w:t>
            </w:r>
          </w:p>
          <w:p w:rsidR="00783659" w:rsidRPr="004C753E" w:rsidRDefault="00783659" w:rsidP="00770CE5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- utrzymujący się nowo rozpoznany blok serca II stopnia typu Mobitz I lub blok przedsionkowo-komorowy wyższego stopnia.</w:t>
            </w:r>
          </w:p>
          <w:p w:rsidR="00783659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sz w:val="20"/>
                <w:szCs w:val="20"/>
              </w:rPr>
              <w:t>U takich pacjentów konieczna jest konsultacja kardiologiczna (bądź internistyczna) celem oceny bezpieczeństwa dalszego leczenia fingolimodem. W razie wątpliwości należy rozważyć zmianę terapii.</w:t>
            </w:r>
          </w:p>
          <w:p w:rsidR="00563191" w:rsidRPr="004C753E" w:rsidRDefault="00563191" w:rsidP="00770CE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659" w:rsidRPr="004C753E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Monitorowanie leczenia:</w:t>
            </w:r>
          </w:p>
          <w:p w:rsidR="00783659" w:rsidRPr="00DF5235" w:rsidRDefault="00783659" w:rsidP="00770CE5">
            <w:pPr>
              <w:spacing w:after="0"/>
              <w:ind w:left="26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Badanie morfologii krwi oraz poziomu transaminaz wątrobowych w 1., 3., 6., 9. i 12.  miesiącu leczenia, a następnie nie rzadziej, niż co 6 miesięcy lub zależnie od wskazań klinicznych;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lastRenderedPageBreak/>
              <w:t>Rezonans magnetyczny z kontrastem – po każdych 12 miesiącach leczenia;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Konsultacja okulistyczna 3-4 miesiące po rozpoczęciu leczenia w celu wykluczenia obrzęku plamki, a następnie zależnie od opinii okulisty, jednak nie rzadziej niż raz w roku;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Konsultacja okulistyczna jest konieczna również w przypadku wystąpienia jakichkolwiek zaburzeń widzenia w trakcie leczenia fingolimodem;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Okresowa kontrola ciśnienia tętniczego krwi, nie rzadziej niż raz na 3 miesiące;</w:t>
            </w:r>
          </w:p>
          <w:p w:rsidR="00783659" w:rsidRDefault="00783659" w:rsidP="00770CE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Konsultacja dermatologiczna po każdych 12 miesiącach leczenia.</w:t>
            </w:r>
          </w:p>
          <w:p w:rsidR="004532F0" w:rsidRPr="004C753E" w:rsidRDefault="004532F0" w:rsidP="004532F0">
            <w:pPr>
              <w:pStyle w:val="ListParagraph"/>
              <w:spacing w:line="276" w:lineRule="auto"/>
              <w:ind w:left="386"/>
              <w:rPr>
                <w:sz w:val="20"/>
                <w:szCs w:val="20"/>
              </w:rPr>
            </w:pPr>
          </w:p>
          <w:p w:rsidR="00783659" w:rsidRPr="004C753E" w:rsidRDefault="004532F0" w:rsidP="00770CE5">
            <w:pPr>
              <w:pStyle w:val="List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 w:rsidR="00783659" w:rsidRPr="004C753E">
              <w:rPr>
                <w:b/>
                <w:bCs/>
                <w:sz w:val="20"/>
                <w:szCs w:val="20"/>
              </w:rPr>
              <w:t>Badania przy kwalifikacji do leczenia natalizumabem:</w:t>
            </w:r>
          </w:p>
          <w:p w:rsidR="00783659" w:rsidRPr="00DF5235" w:rsidRDefault="00783659" w:rsidP="00770CE5">
            <w:pPr>
              <w:pStyle w:val="ListParagraph"/>
              <w:spacing w:line="276" w:lineRule="auto"/>
              <w:ind w:left="360"/>
              <w:rPr>
                <w:b/>
                <w:bCs/>
                <w:sz w:val="12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 xml:space="preserve">Morfologia krwi z rozmazem;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>Badania biochemiczne krwi, w tym oceniające funkcję nerek i wątroby;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4.3.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 xml:space="preserve">Badanie ogólne moczu;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4.4.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>Test ciążowy w moczu;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4.5.</w:t>
            </w:r>
            <w:r>
              <w:rPr>
                <w:sz w:val="20"/>
                <w:szCs w:val="20"/>
              </w:rPr>
              <w:t xml:space="preserve"> </w:t>
            </w:r>
            <w:r w:rsidR="00AC00D6">
              <w:rPr>
                <w:sz w:val="20"/>
                <w:szCs w:val="20"/>
              </w:rPr>
              <w:t xml:space="preserve">Rezonans magnetyczny </w:t>
            </w:r>
            <w:r w:rsidRPr="004C753E">
              <w:rPr>
                <w:sz w:val="20"/>
                <w:szCs w:val="20"/>
              </w:rPr>
              <w:t>bez i po podaniu kontrastu w okresie nie dłuższym niż 30 dni do podania leku, wg ustalonej metodologii (natężenie pola skanera ≥1,0 T, grubość przekroju ≤5 mm, bez przerw, sekwencje:</w:t>
            </w:r>
            <w:r w:rsidRPr="004C753E">
              <w:rPr>
                <w:snapToGrid w:val="0"/>
                <w:sz w:val="20"/>
                <w:szCs w:val="20"/>
              </w:rPr>
              <w:t xml:space="preserve"> FLAIR, TSE PD/T2, SE T1);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4.6.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>Ocena stanu neurologicznego z określeniem EDSS;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4.7.</w:t>
            </w:r>
            <w:r>
              <w:rPr>
                <w:sz w:val="20"/>
                <w:szCs w:val="20"/>
              </w:rPr>
              <w:t xml:space="preserve"> </w:t>
            </w:r>
            <w:r w:rsidRPr="004C753E">
              <w:rPr>
                <w:sz w:val="20"/>
                <w:szCs w:val="20"/>
              </w:rPr>
              <w:t>Wykonanie testu na obecność przeciwciał anty-JCV w celu kwalifikacji do leczenia i stratyfikacji ryzyka PML.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Ponadto w ramach Planu Zarządzania Ryzykiem lekarze przepisujący produkt leczniczy zawierający natalizumab otrzymują pakiet dla lekarza zawierający: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Charakterystykę Produktu Leczniczego oraz Ulotkę dla Pacjenta</w:t>
            </w:r>
            <w:r>
              <w:rPr>
                <w:sz w:val="20"/>
                <w:szCs w:val="20"/>
              </w:rPr>
              <w:t>,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lastRenderedPageBreak/>
              <w:t>Informację dla lekarza o produkcie leczniczym zawierającym natalizumab</w:t>
            </w:r>
            <w:r>
              <w:rPr>
                <w:sz w:val="20"/>
                <w:szCs w:val="20"/>
              </w:rPr>
              <w:t>,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Kartę Ostrzegawczą Pacjenta</w:t>
            </w:r>
            <w:r>
              <w:rPr>
                <w:sz w:val="20"/>
                <w:szCs w:val="20"/>
              </w:rPr>
              <w:t>,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formularz wdrożenia i kontynuacji leczenia</w:t>
            </w:r>
            <w:r>
              <w:rPr>
                <w:sz w:val="20"/>
                <w:szCs w:val="20"/>
              </w:rPr>
              <w:t>,</w:t>
            </w:r>
          </w:p>
          <w:p w:rsidR="00783659" w:rsidRDefault="00783659" w:rsidP="00770CE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pacjenci włączenie do programu muszą otrzymać kartę ostrzegawczą pacjenta i kopię formularza rozpoczęcia terapii. Potwierdzenie otrzymania kopii formularza i karty ostrzegawczej pacjenta pozostaje w dokumentacji medycznej</w:t>
            </w:r>
            <w:r>
              <w:rPr>
                <w:sz w:val="20"/>
                <w:szCs w:val="20"/>
              </w:rPr>
              <w:t>.</w:t>
            </w:r>
          </w:p>
          <w:p w:rsidR="004532F0" w:rsidRPr="004C753E" w:rsidRDefault="004532F0" w:rsidP="004532F0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  <w:p w:rsidR="00783659" w:rsidRPr="004C753E" w:rsidRDefault="004532F0" w:rsidP="00770CE5">
            <w:pPr>
              <w:pStyle w:val="List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 w:rsidR="00783659" w:rsidRPr="004C753E">
              <w:rPr>
                <w:b/>
                <w:bCs/>
                <w:sz w:val="20"/>
                <w:szCs w:val="20"/>
              </w:rPr>
              <w:t>Monitorowanie leczenia:</w:t>
            </w:r>
          </w:p>
          <w:p w:rsidR="00783659" w:rsidRPr="00DF5235" w:rsidRDefault="00783659" w:rsidP="00770CE5">
            <w:pPr>
              <w:pStyle w:val="ListParagraph"/>
              <w:spacing w:line="276" w:lineRule="auto"/>
              <w:ind w:left="360"/>
              <w:rPr>
                <w:sz w:val="12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badanie podmiotowe i przedmiotowe, ze szczególnym uwzględnieniem stanu psychicznego i funkcji poznawczych, przed każdym podaniem leku oraz w sytuacji pojawienia się nowych objawów;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badania laboratoryjne, w tym: morfologia krwi z rozmazem, badania funkcji nerek, wątroby; 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badanie ogólne moczu co 3 miesiące w ciągu pierwszego roku, a następnie co 6 miesięcy lub w razie wskazań medycznych;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MRI bez i po podaniu kontrastu po każdych 12-tu miesiącach leczenia; 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w przypadku podejrzenia PML badanie płynu mózgowo-rdzeniowego na obecność wirusa JC, badanie rezonansu magnetycznego bez i po podaniu kontrastu;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Powtarzanie testu u pacjenta z ujemnym mianem przeciwciał anty- JCV co 6 miesięcy</w:t>
            </w:r>
            <w:r>
              <w:rPr>
                <w:sz w:val="20"/>
                <w:szCs w:val="20"/>
              </w:rPr>
              <w:t>.</w:t>
            </w:r>
          </w:p>
          <w:p w:rsidR="00783659" w:rsidRPr="004C753E" w:rsidRDefault="00783659" w:rsidP="001D5CB5">
            <w:pPr>
              <w:pStyle w:val="ListParagraph"/>
              <w:spacing w:line="276" w:lineRule="auto"/>
              <w:ind w:left="-360"/>
              <w:rPr>
                <w:sz w:val="20"/>
                <w:szCs w:val="20"/>
              </w:rPr>
            </w:pPr>
          </w:p>
          <w:p w:rsidR="00783659" w:rsidRPr="004C753E" w:rsidRDefault="004532F0" w:rsidP="00770CE5">
            <w:pPr>
              <w:pStyle w:val="List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783659" w:rsidRPr="004C753E">
              <w:rPr>
                <w:b/>
                <w:bCs/>
                <w:sz w:val="20"/>
                <w:szCs w:val="20"/>
              </w:rPr>
              <w:t>Specjalne środki ostrożności:</w:t>
            </w:r>
          </w:p>
          <w:p w:rsidR="00783659" w:rsidRPr="00DF5235" w:rsidRDefault="00783659" w:rsidP="00770CE5">
            <w:pPr>
              <w:pStyle w:val="ListParagraph"/>
              <w:spacing w:line="276" w:lineRule="auto"/>
              <w:ind w:left="360"/>
              <w:rPr>
                <w:b/>
                <w:bCs/>
                <w:sz w:val="12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Stosowanie </w:t>
            </w:r>
            <w:r w:rsidR="00B410F4">
              <w:rPr>
                <w:sz w:val="20"/>
                <w:szCs w:val="20"/>
              </w:rPr>
              <w:t>natalizumabu</w:t>
            </w:r>
            <w:r w:rsidRPr="004C753E">
              <w:rPr>
                <w:sz w:val="20"/>
                <w:szCs w:val="20"/>
              </w:rPr>
              <w:t xml:space="preserve"> wiąże się ze zwiększonym ryzykiem wystąpienia PML – oportunistycznego zakażenia wywoływanego przez wirusa JC.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lastRenderedPageBreak/>
              <w:t xml:space="preserve">Lekarz powinien być szczególnie wyczulony na objawy sugerujące PML, których pacjent może nie dostrzegać (np. objawy zaburzenia funkcji poznawczych lub psychiczne).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-1080"/>
              <w:rPr>
                <w:sz w:val="20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Pacjentów  należy uprzedzić, aby poinformowali o swoim leczeniu partnera lub opiekunów, gdyż mogą oni zauważyć objawy, których obecności pacjent nie jest świadomy.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-360"/>
              <w:rPr>
                <w:sz w:val="20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Jeśli u pacjenta rozwinie się PML, podawanie </w:t>
            </w:r>
            <w:r w:rsidR="00B410F4">
              <w:rPr>
                <w:sz w:val="20"/>
                <w:szCs w:val="20"/>
              </w:rPr>
              <w:t>natalizumabu</w:t>
            </w:r>
            <w:r w:rsidRPr="004C753E">
              <w:rPr>
                <w:sz w:val="20"/>
                <w:szCs w:val="20"/>
              </w:rPr>
              <w:t xml:space="preserve"> trzeba przerwać na stałe.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-360"/>
              <w:rPr>
                <w:sz w:val="20"/>
                <w:szCs w:val="20"/>
              </w:rPr>
            </w:pP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W celu oszacowania ryzyka przed lub w trakcie leczenia </w:t>
            </w:r>
            <w:r w:rsidR="00B410F4">
              <w:rPr>
                <w:sz w:val="20"/>
                <w:szCs w:val="20"/>
              </w:rPr>
              <w:t>natalizumabem</w:t>
            </w:r>
            <w:r w:rsidRPr="004C753E">
              <w:rPr>
                <w:sz w:val="20"/>
                <w:szCs w:val="20"/>
              </w:rPr>
              <w:t>, badanie na obecność przeciwciał anty-JCV może dostarczyć wspierających informacji.</w:t>
            </w:r>
          </w:p>
          <w:p w:rsidR="00783659" w:rsidRDefault="00783659" w:rsidP="00770CE5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Przed rozpoczęciem leczenia </w:t>
            </w:r>
            <w:r w:rsidR="00B410F4">
              <w:rPr>
                <w:sz w:val="20"/>
                <w:szCs w:val="20"/>
              </w:rPr>
              <w:t>natalizumabem</w:t>
            </w:r>
            <w:r w:rsidRPr="004C753E">
              <w:rPr>
                <w:sz w:val="20"/>
                <w:szCs w:val="20"/>
              </w:rPr>
              <w:t xml:space="preserve"> wymagane jest niedawne  badanie MRI, jako obraz odniesienia, a następnie powtarzanie tego badania co roku w celu aktualizacji obrazu odniesienia. Należy regularnie monitorować pacjentów. 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 </w:t>
            </w:r>
          </w:p>
          <w:p w:rsidR="00783659" w:rsidRPr="004C753E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Po 2 latach należy ponownie poinformować pacjenta o zagrożeniach związanych z leczeniem </w:t>
            </w:r>
            <w:r w:rsidR="00B410F4">
              <w:rPr>
                <w:sz w:val="20"/>
                <w:szCs w:val="20"/>
              </w:rPr>
              <w:t>natalizumabem</w:t>
            </w:r>
            <w:r w:rsidRPr="004C753E">
              <w:rPr>
                <w:sz w:val="20"/>
                <w:szCs w:val="20"/>
              </w:rPr>
              <w:t>. Pacjenci włączeni do programu muszą otrzymać kartę ostrzegawczą pacjenta i kopię formularza kontynuacji leczenia. Potwierdzenie otrzymania kopii formularza i karty ostrzegawczej pacjenta pozostaje w dokumentacji medycznej.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 xml:space="preserve">W przypadku podejrzenia PML należy wstrzymać dalsze podawanie leku do czasu wykluczenia PML. Lekarz powinien ocenić pacjenta i określić, czy objawy wskazują na dysfunkcję neurologiczną. W potwierdzonych przypadkach lekarz powinien stwierdzić, czy objawy są typowe dla stwardnienia rozsianego, czy wskazują na możliwe rozpoznanie PML. W razie wątpliwości należy rozważyć dalszą diagnostykę, w tym badanie MRI, najlepiej z podaniem kontrastu (dla porównania </w:t>
            </w:r>
            <w:r w:rsidRPr="004C753E">
              <w:rPr>
                <w:sz w:val="20"/>
                <w:szCs w:val="20"/>
              </w:rPr>
              <w:lastRenderedPageBreak/>
              <w:t>z wynikiem MRI sprzed leczenia), badanie płynu mózgowo-rdzeniowego w kierunku DNA wirusa JC oraz powtórne badanie neurologiczne.</w:t>
            </w:r>
          </w:p>
          <w:p w:rsidR="00783659" w:rsidRPr="004C753E" w:rsidRDefault="00783659" w:rsidP="00770CE5">
            <w:pPr>
              <w:pStyle w:val="ListParagraph"/>
              <w:spacing w:line="276" w:lineRule="auto"/>
              <w:ind w:left="-360"/>
              <w:rPr>
                <w:sz w:val="20"/>
                <w:szCs w:val="20"/>
              </w:rPr>
            </w:pPr>
          </w:p>
          <w:p w:rsidR="00783659" w:rsidRDefault="00783659" w:rsidP="00770CE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C753E">
              <w:rPr>
                <w:sz w:val="20"/>
                <w:szCs w:val="20"/>
              </w:rPr>
              <w:t>Po wykluczeniu przez lekarza PML (jeśli to konieczne, przez powtórzenie badań klinicznych, obrazowych i laboratoryjnych, gdy nadal istnieje podejrzenie kliniczne) można wznowić leczenie natalizumabem.</w:t>
            </w:r>
          </w:p>
          <w:p w:rsidR="004532F0" w:rsidRPr="004C753E" w:rsidRDefault="004532F0" w:rsidP="004532F0">
            <w:pPr>
              <w:pStyle w:val="ListParagraph"/>
              <w:spacing w:line="276" w:lineRule="auto"/>
              <w:ind w:left="360"/>
              <w:rPr>
                <w:sz w:val="20"/>
                <w:szCs w:val="20"/>
              </w:rPr>
            </w:pPr>
          </w:p>
          <w:p w:rsidR="00783659" w:rsidRPr="004C753E" w:rsidRDefault="004532F0" w:rsidP="00770CE5">
            <w:pPr>
              <w:pStyle w:val="List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  <w:r w:rsidRPr="004532F0">
              <w:rPr>
                <w:rFonts w:eastAsia="Calibri"/>
                <w:b/>
                <w:sz w:val="20"/>
                <w:szCs w:val="20"/>
                <w:lang w:eastAsia="en-US"/>
              </w:rPr>
              <w:t>7.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83659" w:rsidRPr="004C753E">
              <w:rPr>
                <w:b/>
                <w:bCs/>
                <w:sz w:val="20"/>
                <w:szCs w:val="20"/>
              </w:rPr>
              <w:t>Monitorowanie programu:</w:t>
            </w:r>
          </w:p>
          <w:p w:rsidR="00783659" w:rsidRPr="00DF5235" w:rsidRDefault="00783659" w:rsidP="00770CE5">
            <w:pPr>
              <w:pStyle w:val="ListParagraph"/>
              <w:spacing w:line="276" w:lineRule="auto"/>
              <w:ind w:left="360"/>
              <w:rPr>
                <w:b/>
                <w:bCs/>
                <w:sz w:val="12"/>
                <w:szCs w:val="20"/>
              </w:rPr>
            </w:pPr>
          </w:p>
          <w:p w:rsidR="00783659" w:rsidRPr="00A34FDC" w:rsidRDefault="00783659" w:rsidP="00770CE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A34FDC">
              <w:rPr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783659" w:rsidRPr="00A34FDC" w:rsidRDefault="00783659" w:rsidP="00770CE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7" w:hanging="357"/>
              <w:rPr>
                <w:sz w:val="20"/>
                <w:szCs w:val="20"/>
              </w:rPr>
            </w:pPr>
            <w:r w:rsidRPr="00A34FDC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783659" w:rsidRPr="00A34FDC" w:rsidRDefault="00783659" w:rsidP="00770CE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57" w:hanging="357"/>
              <w:rPr>
                <w:b/>
                <w:sz w:val="20"/>
                <w:szCs w:val="20"/>
              </w:rPr>
            </w:pPr>
            <w:r w:rsidRPr="00A34FDC">
              <w:rPr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783659" w:rsidRPr="004C753E" w:rsidRDefault="00783659" w:rsidP="001D5CB5">
            <w:pPr>
              <w:spacing w:after="0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9E6" w:rsidRDefault="004E4904"/>
    <w:sectPr w:rsidR="00DB79E6" w:rsidSect="004E4904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F3"/>
    <w:multiLevelType w:val="hybridMultilevel"/>
    <w:tmpl w:val="A8A66C76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B295350"/>
    <w:multiLevelType w:val="hybridMultilevel"/>
    <w:tmpl w:val="D58AA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20164"/>
    <w:multiLevelType w:val="hybridMultilevel"/>
    <w:tmpl w:val="793C74D0"/>
    <w:lvl w:ilvl="0" w:tplc="0520F49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1DEB"/>
    <w:multiLevelType w:val="hybridMultilevel"/>
    <w:tmpl w:val="0E901C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D93"/>
    <w:multiLevelType w:val="hybridMultilevel"/>
    <w:tmpl w:val="25A48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E312B"/>
    <w:multiLevelType w:val="hybridMultilevel"/>
    <w:tmpl w:val="19F63ACA"/>
    <w:lvl w:ilvl="0" w:tplc="458A1D5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589A"/>
    <w:multiLevelType w:val="hybridMultilevel"/>
    <w:tmpl w:val="15CEF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E1041D"/>
    <w:multiLevelType w:val="hybridMultilevel"/>
    <w:tmpl w:val="E7C62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F4D8A"/>
    <w:multiLevelType w:val="hybridMultilevel"/>
    <w:tmpl w:val="E0302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A46CE"/>
    <w:multiLevelType w:val="hybridMultilevel"/>
    <w:tmpl w:val="00921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299F"/>
    <w:multiLevelType w:val="hybridMultilevel"/>
    <w:tmpl w:val="C780EBAC"/>
    <w:lvl w:ilvl="0" w:tplc="DBFA89D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72344"/>
    <w:multiLevelType w:val="hybridMultilevel"/>
    <w:tmpl w:val="33C8D730"/>
    <w:lvl w:ilvl="0" w:tplc="7FA42E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6" w:hanging="360"/>
      </w:pPr>
    </w:lvl>
    <w:lvl w:ilvl="2" w:tplc="0415001B">
      <w:start w:val="1"/>
      <w:numFmt w:val="lowerRoman"/>
      <w:lvlText w:val="%3."/>
      <w:lvlJc w:val="right"/>
      <w:pPr>
        <w:ind w:left="1826" w:hanging="180"/>
      </w:pPr>
    </w:lvl>
    <w:lvl w:ilvl="3" w:tplc="0415000F">
      <w:start w:val="1"/>
      <w:numFmt w:val="decimal"/>
      <w:lvlText w:val="%4."/>
      <w:lvlJc w:val="left"/>
      <w:pPr>
        <w:ind w:left="2546" w:hanging="360"/>
      </w:pPr>
    </w:lvl>
    <w:lvl w:ilvl="4" w:tplc="04150019">
      <w:start w:val="1"/>
      <w:numFmt w:val="lowerLetter"/>
      <w:lvlText w:val="%5."/>
      <w:lvlJc w:val="left"/>
      <w:pPr>
        <w:ind w:left="3266" w:hanging="360"/>
      </w:pPr>
    </w:lvl>
    <w:lvl w:ilvl="5" w:tplc="0415001B">
      <w:start w:val="1"/>
      <w:numFmt w:val="lowerRoman"/>
      <w:lvlText w:val="%6."/>
      <w:lvlJc w:val="right"/>
      <w:pPr>
        <w:ind w:left="3986" w:hanging="180"/>
      </w:pPr>
    </w:lvl>
    <w:lvl w:ilvl="6" w:tplc="0415000F">
      <w:start w:val="1"/>
      <w:numFmt w:val="decimal"/>
      <w:lvlText w:val="%7."/>
      <w:lvlJc w:val="left"/>
      <w:pPr>
        <w:ind w:left="4706" w:hanging="360"/>
      </w:pPr>
    </w:lvl>
    <w:lvl w:ilvl="7" w:tplc="04150019">
      <w:start w:val="1"/>
      <w:numFmt w:val="lowerLetter"/>
      <w:lvlText w:val="%8."/>
      <w:lvlJc w:val="left"/>
      <w:pPr>
        <w:ind w:left="5426" w:hanging="360"/>
      </w:pPr>
    </w:lvl>
    <w:lvl w:ilvl="8" w:tplc="0415001B">
      <w:start w:val="1"/>
      <w:numFmt w:val="lowerRoman"/>
      <w:lvlText w:val="%9."/>
      <w:lvlJc w:val="right"/>
      <w:pPr>
        <w:ind w:left="6146" w:hanging="180"/>
      </w:pPr>
    </w:lvl>
  </w:abstractNum>
  <w:abstractNum w:abstractNumId="12" w15:restartNumberingAfterBreak="0">
    <w:nsid w:val="5363320E"/>
    <w:multiLevelType w:val="hybridMultilevel"/>
    <w:tmpl w:val="6C2A01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62207"/>
    <w:multiLevelType w:val="hybridMultilevel"/>
    <w:tmpl w:val="F50A3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A07EE"/>
    <w:multiLevelType w:val="hybridMultilevel"/>
    <w:tmpl w:val="E174A7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4279B"/>
    <w:multiLevelType w:val="hybridMultilevel"/>
    <w:tmpl w:val="58AE705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F3F4034"/>
    <w:multiLevelType w:val="hybridMultilevel"/>
    <w:tmpl w:val="E1260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ED5E79"/>
    <w:multiLevelType w:val="hybridMultilevel"/>
    <w:tmpl w:val="2BDE2EEC"/>
    <w:lvl w:ilvl="0" w:tplc="7FC2A6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71A"/>
    <w:multiLevelType w:val="hybridMultilevel"/>
    <w:tmpl w:val="E154FBD0"/>
    <w:lvl w:ilvl="0" w:tplc="3140E5C8">
      <w:start w:val="2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8E1576"/>
    <w:multiLevelType w:val="hybridMultilevel"/>
    <w:tmpl w:val="E11EE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8C8076B"/>
    <w:multiLevelType w:val="hybridMultilevel"/>
    <w:tmpl w:val="4BBAA710"/>
    <w:lvl w:ilvl="0" w:tplc="842E49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657F7"/>
    <w:multiLevelType w:val="hybridMultilevel"/>
    <w:tmpl w:val="DF94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E4096"/>
    <w:multiLevelType w:val="hybridMultilevel"/>
    <w:tmpl w:val="DF2E8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4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3282E"/>
    <w:multiLevelType w:val="hybridMultilevel"/>
    <w:tmpl w:val="90C42DD4"/>
    <w:lvl w:ilvl="0" w:tplc="991C5E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77AB8"/>
    <w:multiLevelType w:val="hybridMultilevel"/>
    <w:tmpl w:val="A5649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FC7A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21"/>
  </w:num>
  <w:num w:numId="7">
    <w:abstractNumId w:val="23"/>
  </w:num>
  <w:num w:numId="8">
    <w:abstractNumId w:val="20"/>
  </w:num>
  <w:num w:numId="9">
    <w:abstractNumId w:val="18"/>
  </w:num>
  <w:num w:numId="10">
    <w:abstractNumId w:val="17"/>
  </w:num>
  <w:num w:numId="11">
    <w:abstractNumId w:val="5"/>
  </w:num>
  <w:num w:numId="12">
    <w:abstractNumId w:val="3"/>
  </w:num>
  <w:num w:numId="13">
    <w:abstractNumId w:val="9"/>
  </w:num>
  <w:num w:numId="14">
    <w:abstractNumId w:val="13"/>
  </w:num>
  <w:num w:numId="15">
    <w:abstractNumId w:val="6"/>
  </w:num>
  <w:num w:numId="16">
    <w:abstractNumId w:val="0"/>
  </w:num>
  <w:num w:numId="17">
    <w:abstractNumId w:val="22"/>
  </w:num>
  <w:num w:numId="18">
    <w:abstractNumId w:val="1"/>
  </w:num>
  <w:num w:numId="19">
    <w:abstractNumId w:val="14"/>
  </w:num>
  <w:num w:numId="20">
    <w:abstractNumId w:val="4"/>
  </w:num>
  <w:num w:numId="21">
    <w:abstractNumId w:val="12"/>
  </w:num>
  <w:num w:numId="22">
    <w:abstractNumId w:val="15"/>
  </w:num>
  <w:num w:numId="23">
    <w:abstractNumId w:val="24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59"/>
    <w:rsid w:val="000D121C"/>
    <w:rsid w:val="0010000F"/>
    <w:rsid w:val="001413F4"/>
    <w:rsid w:val="001800ED"/>
    <w:rsid w:val="0018041C"/>
    <w:rsid w:val="002213CD"/>
    <w:rsid w:val="00244ED4"/>
    <w:rsid w:val="002534E2"/>
    <w:rsid w:val="00286DAA"/>
    <w:rsid w:val="003177D7"/>
    <w:rsid w:val="003A4634"/>
    <w:rsid w:val="003E705E"/>
    <w:rsid w:val="004532F0"/>
    <w:rsid w:val="004E4904"/>
    <w:rsid w:val="00505839"/>
    <w:rsid w:val="00563191"/>
    <w:rsid w:val="005C4092"/>
    <w:rsid w:val="0068695C"/>
    <w:rsid w:val="00712715"/>
    <w:rsid w:val="00770CE5"/>
    <w:rsid w:val="00783659"/>
    <w:rsid w:val="008C4F23"/>
    <w:rsid w:val="008E1B48"/>
    <w:rsid w:val="00932802"/>
    <w:rsid w:val="00990186"/>
    <w:rsid w:val="00AC00D6"/>
    <w:rsid w:val="00B00F7F"/>
    <w:rsid w:val="00B410F4"/>
    <w:rsid w:val="00BF0F4B"/>
    <w:rsid w:val="00CA2A82"/>
    <w:rsid w:val="00E63CBF"/>
    <w:rsid w:val="00EA5A1E"/>
    <w:rsid w:val="00EC437C"/>
    <w:rsid w:val="00ED7AF3"/>
    <w:rsid w:val="00EF348A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E928C-2078-406F-B105-F8F269C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59"/>
    <w:pPr>
      <w:spacing w:after="200" w:line="276" w:lineRule="auto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36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3381</Words>
  <Characters>20292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Fac</dc:creator>
  <cp:lastModifiedBy>Magdalena Fac</cp:lastModifiedBy>
  <cp:revision>2</cp:revision>
  <cp:lastPrinted>2014-10-16T08:26:00Z</cp:lastPrinted>
  <dcterms:created xsi:type="dcterms:W3CDTF">2016-07-07T13:45:00Z</dcterms:created>
  <dcterms:modified xsi:type="dcterms:W3CDTF">2016-07-07T13:45:00Z</dcterms:modified>
</cp:coreProperties>
</file>